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4F1" w:rsidRDefault="00FF54F1" w:rsidP="00132C2D">
      <w:pPr>
        <w:spacing w:line="360" w:lineRule="auto"/>
        <w:jc w:val="both"/>
        <w:rPr>
          <w:rFonts w:ascii="Garamond" w:eastAsia="Garamond" w:hAnsi="Garamond" w:cs="Times New Roman"/>
          <w:b/>
          <w:bCs/>
          <w:lang w:val="en-GB"/>
        </w:rPr>
      </w:pPr>
      <w:r>
        <w:rPr>
          <w:rFonts w:ascii="Garamond" w:eastAsia="Garamond" w:hAnsi="Garamond" w:cs="Times New Roman"/>
          <w:b/>
          <w:bCs/>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5080</wp:posOffset>
            </wp:positionV>
            <wp:extent cx="932815" cy="511810"/>
            <wp:effectExtent l="0" t="0" r="63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511810"/>
                    </a:xfrm>
                    <a:prstGeom prst="rect">
                      <a:avLst/>
                    </a:prstGeom>
                    <a:noFill/>
                  </pic:spPr>
                </pic:pic>
              </a:graphicData>
            </a:graphic>
          </wp:anchor>
        </w:drawing>
      </w:r>
    </w:p>
    <w:p w:rsidR="00FF54F1" w:rsidRDefault="00FF54F1" w:rsidP="00132C2D">
      <w:pPr>
        <w:spacing w:line="360" w:lineRule="auto"/>
        <w:jc w:val="both"/>
        <w:rPr>
          <w:rFonts w:ascii="Garamond" w:eastAsia="Garamond" w:hAnsi="Garamond" w:cs="Times New Roman"/>
          <w:b/>
          <w:bCs/>
          <w:lang w:val="en-GB"/>
        </w:rPr>
      </w:pPr>
    </w:p>
    <w:p w:rsidR="00132C2D" w:rsidRDefault="00FF54F1" w:rsidP="00132C2D">
      <w:pPr>
        <w:spacing w:line="360" w:lineRule="auto"/>
        <w:jc w:val="both"/>
        <w:rPr>
          <w:rFonts w:ascii="Garamond" w:eastAsia="Garamond" w:hAnsi="Garamond" w:cs="Times New Roman"/>
          <w:b/>
          <w:bCs/>
          <w:lang w:val="en-GB"/>
        </w:rPr>
      </w:pPr>
      <w:r>
        <w:rPr>
          <w:rFonts w:ascii="Garamond" w:eastAsia="Garamond" w:hAnsi="Garamond" w:cs="Times New Roman"/>
          <w:b/>
          <w:bCs/>
          <w:lang w:val="en-GB"/>
        </w:rPr>
        <w:t xml:space="preserve">Dear colleagues, </w:t>
      </w:r>
    </w:p>
    <w:p w:rsidR="00FF54F1" w:rsidRPr="00132C2D" w:rsidRDefault="00FF54F1" w:rsidP="00132C2D">
      <w:pPr>
        <w:spacing w:line="360" w:lineRule="auto"/>
        <w:jc w:val="both"/>
        <w:rPr>
          <w:rFonts w:ascii="Garamond" w:eastAsia="Garamond" w:hAnsi="Garamond" w:cs="Times New Roman"/>
          <w:b/>
          <w:bCs/>
          <w:lang w:val="en-GB"/>
        </w:rPr>
      </w:pPr>
    </w:p>
    <w:p w:rsidR="00132C2D" w:rsidRPr="00132C2D" w:rsidRDefault="00132C2D" w:rsidP="00132C2D">
      <w:pPr>
        <w:spacing w:line="360" w:lineRule="auto"/>
        <w:jc w:val="both"/>
        <w:rPr>
          <w:rFonts w:ascii="Garamond" w:eastAsia="Garamond" w:hAnsi="Garamond" w:cs="Times New Roman"/>
          <w:lang w:val="en-GB"/>
        </w:rPr>
      </w:pPr>
      <w:r w:rsidRPr="00132C2D">
        <w:rPr>
          <w:rFonts w:ascii="Garamond" w:eastAsia="Garamond" w:hAnsi="Garamond" w:cs="Times New Roman"/>
          <w:lang w:val="en-GB"/>
        </w:rPr>
        <w:t>As Co-Chairs and members of the Kurdish Working Group in the European Parliament, we welcome the PKK’s announcement to end their armed struggle and disband their operations, choosing instead to advance Kurdish rights through peaceful means within democratic frameworks in Türkiye.</w:t>
      </w:r>
    </w:p>
    <w:p w:rsidR="00132C2D" w:rsidRPr="00132C2D" w:rsidRDefault="00132C2D" w:rsidP="00132C2D">
      <w:pPr>
        <w:spacing w:line="360" w:lineRule="auto"/>
        <w:jc w:val="both"/>
        <w:rPr>
          <w:rFonts w:ascii="Garamond" w:eastAsia="Garamond" w:hAnsi="Garamond" w:cs="Times New Roman"/>
          <w:lang w:val="en-GB"/>
        </w:rPr>
      </w:pPr>
      <w:r w:rsidRPr="00132C2D">
        <w:rPr>
          <w:rFonts w:ascii="Garamond" w:eastAsia="Garamond" w:hAnsi="Garamond" w:cs="Times New Roman"/>
          <w:lang w:val="en-GB"/>
        </w:rPr>
        <w:t>Building on these positive developments, the European Union now has the opportunity to further support the peace process by fostering dialogue and reconciliation. As the Kurdish Working Group, we believe the essential first step is to remove the PKK from the EU Terrorist List.</w:t>
      </w:r>
    </w:p>
    <w:p w:rsidR="00132C2D" w:rsidRPr="00132C2D" w:rsidRDefault="00132C2D" w:rsidP="00132C2D">
      <w:pPr>
        <w:spacing w:line="360" w:lineRule="auto"/>
        <w:jc w:val="both"/>
        <w:rPr>
          <w:rFonts w:ascii="Garamond" w:eastAsia="Garamond" w:hAnsi="Garamond" w:cs="Times New Roman"/>
          <w:lang w:val="en-GB"/>
        </w:rPr>
      </w:pPr>
      <w:r w:rsidRPr="00132C2D">
        <w:rPr>
          <w:rFonts w:ascii="Garamond" w:eastAsia="Garamond" w:hAnsi="Garamond" w:cs="Times New Roman"/>
          <w:lang w:val="en-GB"/>
        </w:rPr>
        <w:t>An example of delisting happened in 2017, when the European Council removed the Fuerzas Armadas Revolucionarias de Colombia (FARC) from the list to facilitate the peace process. The European Council emphasized the importance of supporting reconciliation by removing obstacles, and we consider it equally vital in relation to the PKK today.</w:t>
      </w:r>
    </w:p>
    <w:p w:rsidR="00132C2D" w:rsidRDefault="00132C2D" w:rsidP="00132C2D">
      <w:pPr>
        <w:spacing w:line="360" w:lineRule="auto"/>
        <w:jc w:val="both"/>
        <w:rPr>
          <w:rFonts w:ascii="Garamond" w:eastAsia="Garamond" w:hAnsi="Garamond" w:cs="Times New Roman"/>
          <w:lang w:val="en-GB"/>
        </w:rPr>
      </w:pPr>
      <w:r w:rsidRPr="00132C2D">
        <w:rPr>
          <w:rFonts w:ascii="Garamond" w:eastAsia="Garamond" w:hAnsi="Garamond" w:cs="Times New Roman"/>
          <w:lang w:val="en-GB"/>
        </w:rPr>
        <w:t>Nearly fifty years of unresolved conflict and state persecution of Kurds in Türkiye have caused migration, destabilized the region, and contributed to the erosion of democratic governance. Delisting the PKK enable political solutions that allow migrants and refugees to return home. It would further</w:t>
      </w:r>
      <w:r w:rsidRPr="00132C2D">
        <w:rPr>
          <w:rFonts w:ascii="Garamond" w:hAnsi="Garamond"/>
        </w:rPr>
        <w:t xml:space="preserve"> </w:t>
      </w:r>
      <w:r w:rsidRPr="00132C2D">
        <w:rPr>
          <w:rFonts w:ascii="Garamond" w:eastAsia="Garamond" w:hAnsi="Garamond" w:cs="Times New Roman"/>
          <w:lang w:val="en-GB"/>
        </w:rPr>
        <w:t xml:space="preserve">promote democracy and peace both within Türkiye and across the wider region. Over the last decade, Kurdish groups in the region have proven instrumental in the fight against terrorist groups like the Islamic State, displaying their commitment to democratic processes throughout the Middle East. </w:t>
      </w:r>
    </w:p>
    <w:p w:rsidR="00FF54F1" w:rsidRPr="00132C2D" w:rsidRDefault="00FF54F1" w:rsidP="00132C2D">
      <w:pPr>
        <w:spacing w:line="360" w:lineRule="auto"/>
        <w:jc w:val="both"/>
        <w:rPr>
          <w:rFonts w:ascii="Garamond" w:eastAsia="Garamond" w:hAnsi="Garamond" w:cs="Times New Roman"/>
          <w:lang w:val="en-GB"/>
        </w:rPr>
      </w:pPr>
      <w:r>
        <w:rPr>
          <w:rFonts w:ascii="Garamond" w:eastAsia="Garamond" w:hAnsi="Garamond" w:cs="Times New Roman"/>
          <w:lang w:val="en-GB"/>
        </w:rPr>
        <w:t xml:space="preserve">We have laid out these requests in a letter to President Von der Leyen and HR/VP Kallas, and are further planning on submitting a Written Question to the Commission. We hope you will consider co-signing the WQ below and thank you for your support on this important initiative. </w:t>
      </w:r>
    </w:p>
    <w:p w:rsidR="00132C2D" w:rsidRPr="00132C2D" w:rsidRDefault="00132C2D" w:rsidP="00132C2D">
      <w:pPr>
        <w:spacing w:line="360" w:lineRule="auto"/>
        <w:jc w:val="both"/>
        <w:rPr>
          <w:rFonts w:ascii="Garamond" w:eastAsia="Garamond" w:hAnsi="Garamond" w:cs="Times New Roman"/>
          <w:lang w:val="en-US"/>
        </w:rPr>
      </w:pPr>
    </w:p>
    <w:p w:rsidR="00132C2D" w:rsidRPr="00132C2D" w:rsidRDefault="00132C2D" w:rsidP="00132C2D">
      <w:pPr>
        <w:spacing w:line="360" w:lineRule="auto"/>
        <w:jc w:val="both"/>
        <w:rPr>
          <w:rFonts w:ascii="Garamond" w:eastAsia="Garamond" w:hAnsi="Garamond" w:cs="Times New Roman"/>
          <w:lang w:val="en-GB"/>
        </w:rPr>
      </w:pPr>
      <w:r w:rsidRPr="00132C2D">
        <w:rPr>
          <w:rFonts w:ascii="Garamond" w:eastAsia="Garamond" w:hAnsi="Garamond" w:cs="Times New Roman"/>
          <w:lang w:val="en-GB"/>
        </w:rPr>
        <w:t xml:space="preserve">Yours sincerely, </w:t>
      </w:r>
    </w:p>
    <w:p w:rsidR="00132C2D" w:rsidRPr="00132C2D" w:rsidRDefault="00132C2D" w:rsidP="00132C2D">
      <w:pPr>
        <w:jc w:val="both"/>
        <w:rPr>
          <w:rFonts w:ascii="Garamond" w:eastAsia="Garamond" w:hAnsi="Garamond" w:cs="Times New Roman"/>
          <w:lang w:val="en-GB"/>
        </w:rPr>
      </w:pPr>
      <w:r w:rsidRPr="00132C2D">
        <w:rPr>
          <w:rFonts w:ascii="Garamond" w:eastAsia="Garamond" w:hAnsi="Garamond" w:cs="Times New Roman"/>
          <w:lang w:val="en-GB"/>
        </w:rPr>
        <w:t xml:space="preserve">Andreas Schieder, Co-Chair of the Kurdish Working Group in the European Parliament </w:t>
      </w:r>
    </w:p>
    <w:p w:rsidR="00132C2D" w:rsidRPr="00132C2D" w:rsidRDefault="00132C2D" w:rsidP="00132C2D">
      <w:pPr>
        <w:jc w:val="both"/>
        <w:rPr>
          <w:rFonts w:ascii="Garamond" w:eastAsia="Garamond" w:hAnsi="Garamond" w:cs="Times New Roman"/>
          <w:lang w:val="en-GB"/>
        </w:rPr>
      </w:pPr>
      <w:r w:rsidRPr="00132C2D">
        <w:rPr>
          <w:rFonts w:ascii="Garamond" w:eastAsia="Garamond" w:hAnsi="Garamond" w:cs="Times New Roman"/>
          <w:lang w:val="en-GB"/>
        </w:rPr>
        <w:t xml:space="preserve">Leoluca Orlando, Co-Chair of the Kurdish Working Group in the European Parliament  </w:t>
      </w:r>
    </w:p>
    <w:p w:rsidR="00132C2D" w:rsidRPr="00132C2D" w:rsidRDefault="00132C2D" w:rsidP="00132C2D">
      <w:pPr>
        <w:jc w:val="both"/>
        <w:rPr>
          <w:rFonts w:ascii="Garamond" w:eastAsia="Garamond" w:hAnsi="Garamond" w:cs="Times New Roman"/>
          <w:lang w:val="en-GB"/>
        </w:rPr>
      </w:pPr>
      <w:r w:rsidRPr="00132C2D">
        <w:rPr>
          <w:rFonts w:ascii="Garamond" w:eastAsia="Garamond" w:hAnsi="Garamond" w:cs="Times New Roman"/>
          <w:lang w:val="en-GB"/>
        </w:rPr>
        <w:t xml:space="preserve">Per Clausen, Co-Chair of the Kurdish Working Group in the European Parliament </w:t>
      </w:r>
    </w:p>
    <w:p w:rsidR="00132C2D" w:rsidRPr="00FF54F1" w:rsidRDefault="00FF54F1" w:rsidP="00132C2D">
      <w:pPr>
        <w:rPr>
          <w:rFonts w:ascii="Garamond" w:hAnsi="Garamond"/>
          <w:b/>
          <w:bCs/>
        </w:rPr>
      </w:pPr>
      <w:r w:rsidRPr="00FF54F1">
        <w:rPr>
          <w:rFonts w:ascii="Garamond" w:hAnsi="Garamond"/>
          <w:b/>
          <w:lang w:val="en-GB"/>
        </w:rPr>
        <w:lastRenderedPageBreak/>
        <w:t xml:space="preserve">Written </w:t>
      </w:r>
      <w:r w:rsidR="00132C2D" w:rsidRPr="00FF54F1">
        <w:rPr>
          <w:rFonts w:ascii="Garamond" w:hAnsi="Garamond"/>
          <w:b/>
          <w:bCs/>
        </w:rPr>
        <w:t>Question to the HR/VP</w:t>
      </w:r>
    </w:p>
    <w:p w:rsidR="00132C2D" w:rsidRPr="00132C2D" w:rsidRDefault="00132C2D" w:rsidP="00132C2D">
      <w:pPr>
        <w:rPr>
          <w:rFonts w:ascii="Garamond" w:hAnsi="Garamond"/>
        </w:rPr>
      </w:pPr>
      <w:r w:rsidRPr="00132C2D">
        <w:rPr>
          <w:rFonts w:ascii="Garamond" w:hAnsi="Garamond"/>
        </w:rPr>
        <w:t>Topic: EU action following the laying down of arms of the PKK</w:t>
      </w:r>
    </w:p>
    <w:p w:rsidR="00132C2D" w:rsidRPr="00132C2D" w:rsidRDefault="00132C2D" w:rsidP="00132C2D">
      <w:pPr>
        <w:rPr>
          <w:rFonts w:ascii="Garamond" w:hAnsi="Garamond"/>
        </w:rPr>
      </w:pPr>
    </w:p>
    <w:p w:rsidR="00132C2D" w:rsidRPr="00132C2D" w:rsidRDefault="00132C2D" w:rsidP="00132C2D">
      <w:pPr>
        <w:rPr>
          <w:rFonts w:ascii="Garamond" w:hAnsi="Garamond"/>
        </w:rPr>
      </w:pPr>
      <w:r w:rsidRPr="00132C2D">
        <w:rPr>
          <w:rFonts w:ascii="Garamond" w:hAnsi="Garamond"/>
        </w:rPr>
        <w:t>When the PKK earlier this year announced it was laying down its arms in pursuit of a peaceful struggle, the EEAS welcomed the message</w:t>
      </w:r>
      <w:r w:rsidRPr="00132C2D">
        <w:rPr>
          <w:rStyle w:val="Funotenzeichen"/>
          <w:rFonts w:ascii="Garamond" w:hAnsi="Garamond"/>
        </w:rPr>
        <w:footnoteReference w:id="1"/>
      </w:r>
      <w:r w:rsidRPr="00132C2D">
        <w:rPr>
          <w:rFonts w:ascii="Garamond" w:hAnsi="Garamond"/>
        </w:rPr>
        <w:t xml:space="preserve">. </w:t>
      </w:r>
    </w:p>
    <w:p w:rsidR="00132C2D" w:rsidRPr="00132C2D" w:rsidRDefault="00132C2D" w:rsidP="00132C2D">
      <w:pPr>
        <w:rPr>
          <w:rFonts w:ascii="Garamond" w:eastAsia="Garamond" w:hAnsi="Garamond"/>
        </w:rPr>
      </w:pPr>
      <w:r w:rsidRPr="00132C2D">
        <w:rPr>
          <w:rFonts w:ascii="Garamond" w:hAnsi="Garamond"/>
        </w:rPr>
        <w:t xml:space="preserve">The laying down of arms and the following hope for a peaceful resolution, recalls the situation in 2017, when the </w:t>
      </w:r>
      <w:r w:rsidRPr="00132C2D">
        <w:rPr>
          <w:rFonts w:ascii="Garamond" w:eastAsia="Garamond" w:hAnsi="Garamond"/>
        </w:rPr>
        <w:t xml:space="preserve">Fuerzas Armadas Revolucionarias de Colombia (FARC), laid down its arms as part of a peace agreement with the government of Colombia. </w:t>
      </w:r>
    </w:p>
    <w:p w:rsidR="00132C2D" w:rsidRPr="00132C2D" w:rsidRDefault="00132C2D" w:rsidP="00132C2D">
      <w:pPr>
        <w:rPr>
          <w:rFonts w:ascii="Garamond" w:eastAsia="Garamond" w:hAnsi="Garamond"/>
        </w:rPr>
      </w:pPr>
      <w:r w:rsidRPr="00132C2D">
        <w:rPr>
          <w:rFonts w:ascii="Garamond" w:eastAsia="Garamond" w:hAnsi="Garamond"/>
        </w:rPr>
        <w:t xml:space="preserve">Back then, the European Council consequently delisted FARC from its list of terrorist organisations. On that occasion, the then-HRVP, Federica Mogherini, stated that such an EU backing of reconciliation was vital. </w:t>
      </w:r>
    </w:p>
    <w:p w:rsidR="00132C2D" w:rsidRPr="00132C2D" w:rsidRDefault="00132C2D" w:rsidP="00132C2D">
      <w:pPr>
        <w:rPr>
          <w:rFonts w:ascii="Garamond" w:eastAsia="Garamond" w:hAnsi="Garamond"/>
        </w:rPr>
      </w:pPr>
    </w:p>
    <w:p w:rsidR="00132C2D" w:rsidRPr="00132C2D" w:rsidRDefault="00132C2D" w:rsidP="00132C2D">
      <w:pPr>
        <w:rPr>
          <w:rFonts w:ascii="Garamond" w:hAnsi="Garamond"/>
        </w:rPr>
      </w:pPr>
      <w:r w:rsidRPr="00132C2D">
        <w:rPr>
          <w:rFonts w:ascii="Garamond" w:eastAsia="Garamond" w:hAnsi="Garamond"/>
        </w:rPr>
        <w:t>This brings forth the issue of whether or not this sentiment should also not be echoed in relation to the PKK today.</w:t>
      </w:r>
    </w:p>
    <w:p w:rsidR="00132C2D" w:rsidRPr="00132C2D" w:rsidRDefault="00132C2D" w:rsidP="00132C2D">
      <w:pPr>
        <w:rPr>
          <w:rFonts w:ascii="Garamond" w:hAnsi="Garamond"/>
        </w:rPr>
      </w:pPr>
    </w:p>
    <w:p w:rsidR="00132C2D" w:rsidRPr="00132C2D" w:rsidRDefault="00132C2D" w:rsidP="00132C2D">
      <w:pPr>
        <w:rPr>
          <w:rFonts w:ascii="Garamond" w:hAnsi="Garamond"/>
        </w:rPr>
      </w:pPr>
      <w:r w:rsidRPr="00132C2D">
        <w:rPr>
          <w:rFonts w:ascii="Garamond" w:hAnsi="Garamond"/>
        </w:rPr>
        <w:t>The HR/VP is therefore kindly asked to answer the following questions:</w:t>
      </w:r>
    </w:p>
    <w:p w:rsidR="00132C2D" w:rsidRPr="00132C2D" w:rsidRDefault="00132C2D" w:rsidP="00132C2D">
      <w:pPr>
        <w:rPr>
          <w:rFonts w:ascii="Garamond" w:hAnsi="Garamond"/>
        </w:rPr>
      </w:pPr>
    </w:p>
    <w:p w:rsidR="00132C2D" w:rsidRPr="00132C2D" w:rsidRDefault="00132C2D" w:rsidP="00132C2D">
      <w:pPr>
        <w:pStyle w:val="Listenabsatz"/>
        <w:numPr>
          <w:ilvl w:val="0"/>
          <w:numId w:val="1"/>
        </w:numPr>
        <w:spacing w:after="0" w:line="240" w:lineRule="auto"/>
        <w:jc w:val="both"/>
        <w:rPr>
          <w:rFonts w:ascii="Garamond" w:hAnsi="Garamond"/>
        </w:rPr>
      </w:pPr>
      <w:r w:rsidRPr="00132C2D">
        <w:rPr>
          <w:rFonts w:ascii="Garamond" w:hAnsi="Garamond"/>
        </w:rPr>
        <w:t>When will the HR/VP bring to the European Council a proposal to follow the precedence from the 2017 laying down of arms of the FARC and, consequently begin the process of no longer listing the PKK on the EU’s terrorist list?</w:t>
      </w:r>
    </w:p>
    <w:p w:rsidR="00132C2D" w:rsidRPr="00132C2D" w:rsidRDefault="00132C2D" w:rsidP="00132C2D">
      <w:pPr>
        <w:pStyle w:val="Listenabsatz"/>
        <w:numPr>
          <w:ilvl w:val="0"/>
          <w:numId w:val="1"/>
        </w:numPr>
        <w:spacing w:after="0" w:line="240" w:lineRule="auto"/>
        <w:jc w:val="both"/>
        <w:rPr>
          <w:rFonts w:ascii="Garamond" w:hAnsi="Garamond"/>
        </w:rPr>
      </w:pPr>
      <w:r w:rsidRPr="00132C2D">
        <w:rPr>
          <w:rFonts w:ascii="Garamond" w:hAnsi="Garamond"/>
        </w:rPr>
        <w:t xml:space="preserve">How else does the EEAS intend to directly support an inclusive peace process in </w:t>
      </w:r>
      <w:r w:rsidRPr="00132C2D">
        <w:rPr>
          <w:rFonts w:ascii="Garamond" w:eastAsia="Garamond" w:hAnsi="Garamond"/>
        </w:rPr>
        <w:t>Türkiye?</w:t>
      </w:r>
    </w:p>
    <w:p w:rsidR="00132C2D" w:rsidRPr="00132C2D" w:rsidRDefault="00132C2D" w:rsidP="00132C2D">
      <w:pPr>
        <w:spacing w:line="360" w:lineRule="auto"/>
        <w:jc w:val="both"/>
        <w:rPr>
          <w:rFonts w:ascii="Garamond" w:eastAsia="Garamond" w:hAnsi="Garamond" w:cs="Times New Roman"/>
        </w:rPr>
      </w:pPr>
    </w:p>
    <w:p w:rsidR="00132C2D" w:rsidRPr="00132C2D" w:rsidRDefault="00132C2D">
      <w:pPr>
        <w:rPr>
          <w:rFonts w:ascii="Garamond" w:hAnsi="Garamond"/>
          <w:lang w:val="en-GB"/>
        </w:rPr>
      </w:pPr>
    </w:p>
    <w:sectPr w:rsidR="00132C2D" w:rsidRPr="00132C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0AE" w:rsidRDefault="00AB60AE" w:rsidP="00132C2D">
      <w:pPr>
        <w:spacing w:after="0" w:line="240" w:lineRule="auto"/>
      </w:pPr>
      <w:r>
        <w:separator/>
      </w:r>
    </w:p>
  </w:endnote>
  <w:endnote w:type="continuationSeparator" w:id="0">
    <w:p w:rsidR="00AB60AE" w:rsidRDefault="00AB60AE" w:rsidP="0013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0AE" w:rsidRDefault="00AB60AE" w:rsidP="00132C2D">
      <w:pPr>
        <w:spacing w:after="0" w:line="240" w:lineRule="auto"/>
      </w:pPr>
      <w:r>
        <w:separator/>
      </w:r>
    </w:p>
  </w:footnote>
  <w:footnote w:type="continuationSeparator" w:id="0">
    <w:p w:rsidR="00AB60AE" w:rsidRDefault="00AB60AE" w:rsidP="00132C2D">
      <w:pPr>
        <w:spacing w:after="0" w:line="240" w:lineRule="auto"/>
      </w:pPr>
      <w:r>
        <w:continuationSeparator/>
      </w:r>
    </w:p>
  </w:footnote>
  <w:footnote w:id="1">
    <w:p w:rsidR="00132C2D" w:rsidRPr="00AD3920" w:rsidRDefault="00132C2D" w:rsidP="00132C2D">
      <w:pPr>
        <w:pStyle w:val="Funotentext"/>
      </w:pPr>
      <w:r>
        <w:rPr>
          <w:rStyle w:val="Funotenzeichen"/>
        </w:rPr>
        <w:footnoteRef/>
      </w:r>
      <w:r w:rsidRPr="00AD3920">
        <w:t xml:space="preserve"> </w:t>
      </w:r>
      <w:hyperlink r:id="rId1" w:history="1">
        <w:r w:rsidRPr="00AD3920">
          <w:rPr>
            <w:rStyle w:val="Hyperlink"/>
          </w:rPr>
          <w:t>https://www.eeas.europa.eu/node/3264_en</w:t>
        </w:r>
      </w:hyperlink>
      <w:r w:rsidRPr="00AD39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276B1"/>
    <w:multiLevelType w:val="hybridMultilevel"/>
    <w:tmpl w:val="4D32F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321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C2D"/>
    <w:rsid w:val="00132C2D"/>
    <w:rsid w:val="002276F3"/>
    <w:rsid w:val="00353127"/>
    <w:rsid w:val="005B29AB"/>
    <w:rsid w:val="006235C7"/>
    <w:rsid w:val="0072590D"/>
    <w:rsid w:val="00AB60AE"/>
    <w:rsid w:val="00FF54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305A-9616-794A-8E6A-085C02A6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2C2D"/>
    <w:rPr>
      <w:rFonts w:ascii="Calibri" w:eastAsia="Calibri" w:hAnsi="Calibri" w:cs="Calibri"/>
      <w:kern w:val="0"/>
      <w:lang w:val="en" w:eastAsia="de-DE"/>
      <w14:ligatures w14:val="none"/>
    </w:rPr>
  </w:style>
  <w:style w:type="paragraph" w:styleId="berschrift1">
    <w:name w:val="heading 1"/>
    <w:basedOn w:val="Standard"/>
    <w:next w:val="Standard"/>
    <w:link w:val="berschrift1Zchn"/>
    <w:uiPriority w:val="9"/>
    <w:qFormat/>
    <w:rsid w:val="0013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2C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2C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2C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2C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2C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2C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2C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2C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2C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2C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2C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2C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2C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2C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2C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2C2D"/>
    <w:rPr>
      <w:rFonts w:eastAsiaTheme="majorEastAsia" w:cstheme="majorBidi"/>
      <w:color w:val="272727" w:themeColor="text1" w:themeTint="D8"/>
    </w:rPr>
  </w:style>
  <w:style w:type="paragraph" w:styleId="Titel">
    <w:name w:val="Title"/>
    <w:basedOn w:val="Standard"/>
    <w:next w:val="Standard"/>
    <w:link w:val="TitelZchn"/>
    <w:uiPriority w:val="10"/>
    <w:qFormat/>
    <w:rsid w:val="0013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2C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2C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2C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2C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2C2D"/>
    <w:rPr>
      <w:i/>
      <w:iCs/>
      <w:color w:val="404040" w:themeColor="text1" w:themeTint="BF"/>
    </w:rPr>
  </w:style>
  <w:style w:type="paragraph" w:styleId="Listenabsatz">
    <w:name w:val="List Paragraph"/>
    <w:basedOn w:val="Standard"/>
    <w:uiPriority w:val="34"/>
    <w:qFormat/>
    <w:rsid w:val="00132C2D"/>
    <w:pPr>
      <w:ind w:left="720"/>
      <w:contextualSpacing/>
    </w:pPr>
  </w:style>
  <w:style w:type="character" w:styleId="IntensiveHervorhebung">
    <w:name w:val="Intense Emphasis"/>
    <w:basedOn w:val="Absatz-Standardschriftart"/>
    <w:uiPriority w:val="21"/>
    <w:qFormat/>
    <w:rsid w:val="00132C2D"/>
    <w:rPr>
      <w:i/>
      <w:iCs/>
      <w:color w:val="0F4761" w:themeColor="accent1" w:themeShade="BF"/>
    </w:rPr>
  </w:style>
  <w:style w:type="paragraph" w:styleId="IntensivesZitat">
    <w:name w:val="Intense Quote"/>
    <w:basedOn w:val="Standard"/>
    <w:next w:val="Standard"/>
    <w:link w:val="IntensivesZitatZchn"/>
    <w:uiPriority w:val="30"/>
    <w:qFormat/>
    <w:rsid w:val="0013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2C2D"/>
    <w:rPr>
      <w:i/>
      <w:iCs/>
      <w:color w:val="0F4761" w:themeColor="accent1" w:themeShade="BF"/>
    </w:rPr>
  </w:style>
  <w:style w:type="character" w:styleId="IntensiverVerweis">
    <w:name w:val="Intense Reference"/>
    <w:basedOn w:val="Absatz-Standardschriftart"/>
    <w:uiPriority w:val="32"/>
    <w:qFormat/>
    <w:rsid w:val="00132C2D"/>
    <w:rPr>
      <w:b/>
      <w:bCs/>
      <w:smallCaps/>
      <w:color w:val="0F4761" w:themeColor="accent1" w:themeShade="BF"/>
      <w:spacing w:val="5"/>
    </w:rPr>
  </w:style>
  <w:style w:type="paragraph" w:styleId="Funotentext">
    <w:name w:val="footnote text"/>
    <w:basedOn w:val="Standard"/>
    <w:link w:val="FunotentextZchn"/>
    <w:uiPriority w:val="99"/>
    <w:semiHidden/>
    <w:unhideWhenUsed/>
    <w:rsid w:val="00132C2D"/>
    <w:pPr>
      <w:spacing w:after="0" w:line="240" w:lineRule="auto"/>
      <w:jc w:val="both"/>
    </w:pPr>
    <w:rPr>
      <w:rFonts w:ascii="Times New Roman" w:eastAsiaTheme="minorHAnsi" w:hAnsi="Times New Roman" w:cs="Times New Roman"/>
      <w:kern w:val="2"/>
      <w:sz w:val="20"/>
      <w:szCs w:val="20"/>
      <w:lang w:val="en-GB" w:eastAsia="en-US"/>
      <w14:ligatures w14:val="standardContextual"/>
    </w:rPr>
  </w:style>
  <w:style w:type="character" w:customStyle="1" w:styleId="FunotentextZchn">
    <w:name w:val="Fußnotentext Zchn"/>
    <w:basedOn w:val="Absatz-Standardschriftart"/>
    <w:link w:val="Funotentext"/>
    <w:uiPriority w:val="99"/>
    <w:semiHidden/>
    <w:rsid w:val="00132C2D"/>
    <w:rPr>
      <w:rFonts w:ascii="Times New Roman" w:hAnsi="Times New Roman" w:cs="Times New Roman"/>
      <w:sz w:val="20"/>
      <w:szCs w:val="20"/>
      <w:lang w:val="en-GB"/>
    </w:rPr>
  </w:style>
  <w:style w:type="character" w:styleId="Funotenzeichen">
    <w:name w:val="footnote reference"/>
    <w:basedOn w:val="Absatz-Standardschriftart"/>
    <w:uiPriority w:val="99"/>
    <w:semiHidden/>
    <w:unhideWhenUsed/>
    <w:rsid w:val="00132C2D"/>
    <w:rPr>
      <w:vertAlign w:val="superscript"/>
    </w:rPr>
  </w:style>
  <w:style w:type="character" w:styleId="Hyperlink">
    <w:name w:val="Hyperlink"/>
    <w:basedOn w:val="Absatz-Standardschriftart"/>
    <w:uiPriority w:val="99"/>
    <w:unhideWhenUsed/>
    <w:rsid w:val="00132C2D"/>
    <w:rPr>
      <w:color w:val="467886" w:themeColor="hyperlink"/>
      <w:u w:val="single"/>
    </w:rPr>
  </w:style>
  <w:style w:type="paragraph" w:styleId="KeinLeerraum">
    <w:name w:val="No Spacing"/>
    <w:uiPriority w:val="1"/>
    <w:qFormat/>
    <w:rsid w:val="00132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eas.europa.eu/node/3264_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2025-09-26T14:32:00Z</dcterms:created>
  <dcterms:modified xsi:type="dcterms:W3CDTF">2025-09-26T14:32:00Z</dcterms:modified>
</cp:coreProperties>
</file>